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Pr="00A15C2E">
        <w:rPr>
          <w:rFonts w:ascii="Times New Roman" w:hAnsi="Times New Roman"/>
          <w:sz w:val="24"/>
          <w:szCs w:val="24"/>
        </w:rPr>
        <w:t>УТВЕРЖДЕНА</w:t>
      </w:r>
      <w:r w:rsidRPr="00A15C2E">
        <w:rPr>
          <w:rFonts w:ascii="Times New Roman" w:hAnsi="Times New Roman"/>
          <w:sz w:val="24"/>
          <w:szCs w:val="24"/>
        </w:rPr>
        <w:br/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A15C2E">
        <w:rPr>
          <w:rFonts w:ascii="Times New Roman" w:hAnsi="Times New Roman"/>
          <w:sz w:val="24"/>
          <w:szCs w:val="24"/>
        </w:rPr>
        <w:t xml:space="preserve">приказом Председателя </w:t>
      </w:r>
      <w:r>
        <w:rPr>
          <w:rFonts w:ascii="Times New Roman" w:hAnsi="Times New Roman"/>
          <w:sz w:val="24"/>
          <w:szCs w:val="24"/>
        </w:rPr>
        <w:t xml:space="preserve">    </w:t>
      </w:r>
    </w:p>
    <w:p w:rsidR="006B73E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A15C2E">
        <w:rPr>
          <w:rFonts w:ascii="Times New Roman" w:hAnsi="Times New Roman"/>
          <w:sz w:val="24"/>
          <w:szCs w:val="24"/>
        </w:rPr>
        <w:t>Арбитражного</w:t>
      </w:r>
      <w:r>
        <w:rPr>
          <w:rFonts w:ascii="Times New Roman" w:hAnsi="Times New Roman"/>
          <w:sz w:val="24"/>
          <w:szCs w:val="24"/>
        </w:rPr>
        <w:t xml:space="preserve"> Суда   </w:t>
      </w:r>
    </w:p>
    <w:p w:rsidR="006B73EE" w:rsidRPr="00A15C2E" w:rsidRDefault="006B73EE" w:rsidP="00EA60FB">
      <w:pPr>
        <w:tabs>
          <w:tab w:val="left" w:pos="6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</w:t>
      </w:r>
      <w:r w:rsidRPr="00A15C2E">
        <w:rPr>
          <w:rFonts w:ascii="Times New Roman" w:hAnsi="Times New Roman"/>
          <w:sz w:val="24"/>
          <w:szCs w:val="24"/>
        </w:rPr>
        <w:t>Республики Мордовия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bCs/>
          <w:iCs/>
          <w:sz w:val="24"/>
          <w:szCs w:val="24"/>
          <w:u w:val="single"/>
        </w:rPr>
      </w:pPr>
      <w:r w:rsidRPr="00A15C2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A15C2E">
        <w:rPr>
          <w:rFonts w:ascii="Times New Roman" w:hAnsi="Times New Roman"/>
          <w:sz w:val="24"/>
          <w:szCs w:val="24"/>
        </w:rPr>
        <w:t xml:space="preserve">  от 24 декабря 2025</w:t>
      </w:r>
      <w:r w:rsidRPr="00A15C2E">
        <w:rPr>
          <w:rFonts w:ascii="Times New Roman" w:hAnsi="Times New Roman"/>
          <w:bCs/>
          <w:iCs/>
          <w:sz w:val="24"/>
          <w:szCs w:val="24"/>
          <w:u w:val="single"/>
        </w:rPr>
        <w:t xml:space="preserve">  </w:t>
      </w:r>
      <w:r w:rsidRPr="00A15C2E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88</w:t>
      </w:r>
      <w:r w:rsidRPr="00A15C2E">
        <w:rPr>
          <w:rFonts w:ascii="Times New Roman" w:hAnsi="Times New Roman"/>
          <w:sz w:val="24"/>
          <w:szCs w:val="24"/>
        </w:rPr>
        <w:t> </w:t>
      </w:r>
      <w:r w:rsidRPr="00A15C2E">
        <w:rPr>
          <w:rFonts w:ascii="Times New Roman" w:hAnsi="Times New Roman"/>
          <w:bCs/>
          <w:sz w:val="24"/>
          <w:szCs w:val="24"/>
          <w:u w:val="single"/>
        </w:rPr>
        <w:t xml:space="preserve">       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5C2E">
        <w:rPr>
          <w:rFonts w:ascii="Times New Roman" w:hAnsi="Times New Roman"/>
          <w:b/>
          <w:sz w:val="24"/>
          <w:szCs w:val="24"/>
        </w:rPr>
        <w:t>Учетная политика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15C2E">
        <w:rPr>
          <w:rFonts w:ascii="Times New Roman" w:hAnsi="Times New Roman"/>
          <w:b/>
          <w:sz w:val="24"/>
          <w:szCs w:val="24"/>
        </w:rPr>
        <w:t xml:space="preserve">Арбитражного суда Республики Мордовия  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> 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>Учетная  политика АРБИТРАЖНОГО СУДА РЕСПУБЛИКИ МОРДОВИЯ </w:t>
      </w:r>
      <w:r>
        <w:rPr>
          <w:rFonts w:ascii="Times New Roman" w:hAnsi="Times New Roman"/>
          <w:sz w:val="24"/>
          <w:szCs w:val="24"/>
        </w:rPr>
        <w:t xml:space="preserve">с 2026 года </w:t>
      </w:r>
      <w:r w:rsidRPr="00A15C2E">
        <w:rPr>
          <w:rFonts w:ascii="Times New Roman" w:hAnsi="Times New Roman"/>
          <w:sz w:val="24"/>
          <w:szCs w:val="24"/>
        </w:rPr>
        <w:t>разработана в соответствии:</w:t>
      </w:r>
    </w:p>
    <w:p w:rsidR="006B73EE" w:rsidRPr="00A15C2E" w:rsidRDefault="006B73EE" w:rsidP="00EA60F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Бюджетный </w:t>
      </w:r>
      <w:r w:rsidRPr="000A36A2">
        <w:rPr>
          <w:rFonts w:ascii="Times New Roman" w:hAnsi="Times New Roman"/>
          <w:sz w:val="24"/>
          <w:szCs w:val="24"/>
        </w:rPr>
        <w:t>кодекс</w:t>
      </w:r>
      <w:r w:rsidRPr="00A15C2E">
        <w:rPr>
          <w:rFonts w:ascii="Times New Roman" w:hAnsi="Times New Roman"/>
          <w:sz w:val="24"/>
          <w:szCs w:val="24"/>
        </w:rPr>
        <w:t xml:space="preserve"> РФ (далее - БК РФ);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5" w:history="1">
        <w:r w:rsidRPr="000A36A2">
          <w:rPr>
            <w:rFonts w:ascii="Times New Roman" w:hAnsi="Times New Roman"/>
            <w:sz w:val="24"/>
            <w:szCs w:val="24"/>
          </w:rPr>
          <w:t>закон</w:t>
        </w:r>
      </w:hyperlink>
      <w:r w:rsidRPr="00A15C2E">
        <w:rPr>
          <w:rFonts w:ascii="Times New Roman" w:hAnsi="Times New Roman"/>
          <w:sz w:val="24"/>
          <w:szCs w:val="24"/>
        </w:rPr>
        <w:t xml:space="preserve"> от 06.12.2011 N 402-ФЗ "О бухгалтерском учете" (далее - Закон N 402-ФЗ);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6" w:history="1">
        <w:r w:rsidRPr="000A36A2">
          <w:rPr>
            <w:rFonts w:ascii="Times New Roman" w:hAnsi="Times New Roman"/>
            <w:sz w:val="24"/>
            <w:szCs w:val="24"/>
          </w:rPr>
          <w:t>закон</w:t>
        </w:r>
      </w:hyperlink>
      <w:r w:rsidRPr="00A15C2E">
        <w:rPr>
          <w:rFonts w:ascii="Times New Roman" w:hAnsi="Times New Roman"/>
          <w:sz w:val="24"/>
          <w:szCs w:val="24"/>
        </w:rPr>
        <w:t xml:space="preserve"> от 12.01.1996 N 7-ФЗ "О некоммерческих организациях" (далее - Закон N 7-ФЗ);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7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сектора", утвержденный Приказом Минфина России от 31.12.2016 N 256н (далее - СГС "Концептуальные основы");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8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"Основные средства", утвержденный Приказом Минфина России от 31.12.2016 N 257н (далее - СГС "Основные средства");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9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"Аренда", утвержденный Приказом Минфина России от 31.12.2016 N 258н (далее - СГС "Аренда");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"Обесценение активов", утвержденный Приказом Минфина России от 31.12.2016 N 259н (далее - СГС "Обесценение активов");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"Представление бухгалтерской (финансовой) отчетности", утвержденный Приказом Минфина России от 31.12.2016 N 260н (далее - СГС "Представление отчетности");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"Отчет о движении денежных средств", утвержденный Приказом Минфина России от 30.12.2017 N 278н (далее - СГС "Отчет о движении денежных средств");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3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"Учетная политика, оценочные значения и ошибки", утвержденный Приказом Минфина России от 30.12.2017 N 274н (далее - СГС "Учетная политика");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4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"События после отчетной даты", утвержденный Приказом Минфина России от 30.12.2017 N 275н (далее - СГС "События после отчетной даты");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5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"Доходы", утвержденный Приказом Минфина России от 27.02.2018 N 32н (далее - СГС "Доходы");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6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"Влияние изменений курсов иностранных валют", утвержденный Приказом Минфина России от 30.05.2018 N 122н (далее - СГС "Влияние изменений курсов иностранных валют");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7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"Информация о связанных сторонах", утвержденный Приказом Минфина России от 30.12.2017 N 277н (далее - СГС "Информация о связанных сторонах");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8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"Бюджетная информация в бухгалтерской (финансовой) отчетности", утвержденный Приказом Минфина России от 28.02.2018 N 37н (далее - СГС "Бюджетная информация в бухгалтерской (финансовой) отчетности");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19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"Резервы. Раскрытие информации об условных обязательствах и условных активах", утвержденный Приказом Минфина России от 30.05.2018 N 124н (далее - СГС "Резервы");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0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"Долгосрочные договоры", утвержденный Приказом Минфина России от 29.06.2018 N 145н (далее - СГС "Долгосрочные договоры");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1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"Запасы", утвержденный Приказом Минфина России от 07.12.2018 N 256н (далее - СГС "Запасы");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2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для организаций государственного сектора "Бухгалтерская (финансовая) отчетность с учетом инфляции", утвержденный Приказом Минфина России от 29.12.2018 N 305н (далее - СГС "Бухгалтерская (финансовая) отчетность с учетом инфляции");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3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государственных финансов "Нематериальные активы", утвержденный Приказом Минфина России от 15.11.2019 N 181н (далее - СГС "Нематериальные активы");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4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государственных финансов "Выплаты персоналу", утвержденный Приказом Минфина России от 15.11.2019 N 184н (далее - СГС "Выплаты персоналу");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5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государственных финансов "Финансовые инструменты", утвержденный Приказом Минфина России от 30.06.2020 N 129н (далее - СГС "Финансовые инструменты");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Федеральный </w:t>
      </w:r>
      <w:hyperlink r:id="rId26" w:history="1">
        <w:r w:rsidRPr="000A36A2">
          <w:rPr>
            <w:rFonts w:ascii="Times New Roman" w:hAnsi="Times New Roman"/>
            <w:sz w:val="24"/>
            <w:szCs w:val="24"/>
          </w:rPr>
          <w:t>стандарт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бухгалтерского учета государственных финансов "Метод долевого участия", утвержденный Приказом Минфина России от 30.10.2020 N 254н (далее - СГС "Метод долевого участия");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27" w:history="1">
        <w:r w:rsidRPr="000A36A2">
          <w:rPr>
            <w:rFonts w:ascii="Times New Roman" w:hAnsi="Times New Roman"/>
            <w:sz w:val="24"/>
            <w:szCs w:val="24"/>
          </w:rPr>
          <w:t>Приказ</w:t>
        </w:r>
      </w:hyperlink>
      <w:r w:rsidRPr="00A15C2E">
        <w:rPr>
          <w:rFonts w:ascii="Times New Roman" w:hAnsi="Times New Roman"/>
          <w:sz w:val="24"/>
          <w:szCs w:val="24"/>
        </w:rPr>
        <w:t xml:space="preserve"> Минфина России от 30.03.2015 N 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(далее - Приказ Минфина России N 52н), включая Приложение N 5 - Методические </w:t>
      </w:r>
      <w:hyperlink r:id="rId28" w:history="1">
        <w:r w:rsidRPr="000A36A2">
          <w:rPr>
            <w:rFonts w:ascii="Times New Roman" w:hAnsi="Times New Roman"/>
            <w:sz w:val="24"/>
            <w:szCs w:val="24"/>
          </w:rPr>
          <w:t>указания</w:t>
        </w:r>
      </w:hyperlink>
      <w:r w:rsidRPr="00A15C2E">
        <w:rPr>
          <w:rFonts w:ascii="Times New Roman" w:hAnsi="Times New Roman"/>
          <w:sz w:val="24"/>
          <w:szCs w:val="24"/>
        </w:rPr>
        <w:t xml:space="preserve"> по применению форм первичных учетных документов и формированию регистров бухгалтерского учета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 (далее - Методические указания N 52н);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29" w:history="1">
        <w:r w:rsidRPr="000A36A2">
          <w:rPr>
            <w:rFonts w:ascii="Times New Roman" w:hAnsi="Times New Roman"/>
            <w:sz w:val="24"/>
            <w:szCs w:val="24"/>
          </w:rPr>
          <w:t>Указание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Банка России от 11.03.2014 N 3210-У "О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предпринимательства" (далее - Указание N 3210-У);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0" w:history="1">
        <w:r w:rsidRPr="000A36A2">
          <w:rPr>
            <w:rFonts w:ascii="Times New Roman" w:hAnsi="Times New Roman"/>
            <w:sz w:val="24"/>
            <w:szCs w:val="24"/>
          </w:rPr>
          <w:t>Указание</w:t>
        </w:r>
      </w:hyperlink>
      <w:r w:rsidRPr="00A15C2E">
        <w:rPr>
          <w:rFonts w:ascii="Times New Roman" w:hAnsi="Times New Roman"/>
          <w:sz w:val="24"/>
          <w:szCs w:val="24"/>
        </w:rPr>
        <w:t xml:space="preserve"> Банка России от 09.12.2019 N 5348-У "О правилах наличных расчетов" (далее - Указание N 5348-У);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Методические </w:t>
      </w:r>
      <w:hyperlink r:id="rId31" w:history="1">
        <w:r w:rsidRPr="000A36A2">
          <w:rPr>
            <w:rFonts w:ascii="Times New Roman" w:hAnsi="Times New Roman"/>
            <w:sz w:val="24"/>
            <w:szCs w:val="24"/>
          </w:rPr>
          <w:t>указания</w:t>
        </w:r>
      </w:hyperlink>
      <w:r w:rsidRPr="00A15C2E">
        <w:rPr>
          <w:rFonts w:ascii="Times New Roman" w:hAnsi="Times New Roman"/>
          <w:sz w:val="24"/>
          <w:szCs w:val="24"/>
        </w:rPr>
        <w:t xml:space="preserve"> по инвентаризации имущества и финансовых обязательств, утвержденные Приказом Минфина России от 13.06.1995 N 49 (далее - Методические указания N 49);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Методические </w:t>
      </w:r>
      <w:hyperlink r:id="rId32" w:history="1">
        <w:r w:rsidRPr="000A36A2">
          <w:rPr>
            <w:rFonts w:ascii="Times New Roman" w:hAnsi="Times New Roman"/>
            <w:sz w:val="24"/>
            <w:szCs w:val="24"/>
          </w:rPr>
          <w:t>рекомендации</w:t>
        </w:r>
      </w:hyperlink>
      <w:r w:rsidRPr="00A15C2E">
        <w:rPr>
          <w:rFonts w:ascii="Times New Roman" w:hAnsi="Times New Roman"/>
          <w:sz w:val="24"/>
          <w:szCs w:val="24"/>
        </w:rPr>
        <w:t xml:space="preserve"> "Нормы расхода топлива и смазочных материалов на автомобильном транспорте", введенные в действие Распоряжением Минтранса России от 14.03.2008 N АМ-23-р (далее - Методические рекомендации N АМ-23-р);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3" w:history="1">
        <w:r w:rsidRPr="000A36A2">
          <w:rPr>
            <w:rFonts w:ascii="Times New Roman" w:hAnsi="Times New Roman"/>
            <w:sz w:val="24"/>
            <w:szCs w:val="24"/>
          </w:rPr>
          <w:t>Правила</w:t>
        </w:r>
      </w:hyperlink>
      <w:r w:rsidRPr="00A15C2E">
        <w:rPr>
          <w:rFonts w:ascii="Times New Roman" w:hAnsi="Times New Roman"/>
          <w:sz w:val="24"/>
          <w:szCs w:val="24"/>
        </w:rPr>
        <w:t xml:space="preserve"> учета и хранения драгоценных металлов, драгоценных камней и продукции из них, а также ведения соответствующей отчетности, утвержденные Постановлением Правительства РФ от 28.09.2000 N 731 (далее - Правила учета и хранения драгоценных металлов, драгоценных камней и продукции из них, а также ведения соответствующей отчетности);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4" w:history="1">
        <w:r w:rsidRPr="000A36A2">
          <w:rPr>
            <w:rFonts w:ascii="Times New Roman" w:hAnsi="Times New Roman"/>
            <w:sz w:val="24"/>
            <w:szCs w:val="24"/>
          </w:rPr>
          <w:t>Инструкция</w:t>
        </w:r>
      </w:hyperlink>
      <w:r w:rsidRPr="00A15C2E">
        <w:rPr>
          <w:rFonts w:ascii="Times New Roman" w:hAnsi="Times New Roman"/>
          <w:sz w:val="24"/>
          <w:szCs w:val="24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утвержденная Приказом Минфина России от 28.12.2010 N 191н (далее - Инструкция N 191н);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5" w:history="1">
        <w:r w:rsidRPr="000A36A2">
          <w:rPr>
            <w:rFonts w:ascii="Times New Roman" w:hAnsi="Times New Roman"/>
            <w:sz w:val="24"/>
            <w:szCs w:val="24"/>
          </w:rPr>
          <w:t>Приказ</w:t>
        </w:r>
      </w:hyperlink>
      <w:r w:rsidRPr="00A15C2E">
        <w:rPr>
          <w:rFonts w:ascii="Times New Roman" w:hAnsi="Times New Roman"/>
          <w:sz w:val="24"/>
          <w:szCs w:val="24"/>
        </w:rPr>
        <w:t xml:space="preserve"> Минфина России от 09.12.2016 N 231н "Об утверждении Инструкции о порядке учета и хранения драгоценных металлов, драгоценных камней, продукции из них и ведения отчетности при их производстве, использовании и обращении" (далее - Приказ Минфина России N 231н);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6" w:history="1">
        <w:r w:rsidRPr="000A36A2">
          <w:rPr>
            <w:rFonts w:ascii="Times New Roman" w:hAnsi="Times New Roman"/>
            <w:sz w:val="24"/>
            <w:szCs w:val="24"/>
          </w:rPr>
          <w:t>Порядок</w:t>
        </w:r>
      </w:hyperlink>
      <w:r w:rsidRPr="00A15C2E">
        <w:rPr>
          <w:rFonts w:ascii="Times New Roman" w:hAnsi="Times New Roman"/>
          <w:sz w:val="24"/>
          <w:szCs w:val="24"/>
        </w:rPr>
        <w:t xml:space="preserve"> формирования и применения кодов бюджетной классификации Российской Федерации, их структура и принципы назначения, утвержденные Приказом Минфина России от 06.06.2019 N 85н (далее - Порядок N 85н);</w:t>
      </w:r>
    </w:p>
    <w:p w:rsidR="006B73EE" w:rsidRPr="00A15C2E" w:rsidRDefault="006B73EE" w:rsidP="00EA60FB">
      <w:pPr>
        <w:autoSpaceDE w:val="0"/>
        <w:autoSpaceDN w:val="0"/>
        <w:adjustRightInd w:val="0"/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 xml:space="preserve">- </w:t>
      </w:r>
      <w:hyperlink r:id="rId37" w:history="1">
        <w:r w:rsidRPr="000A36A2">
          <w:rPr>
            <w:rFonts w:ascii="Times New Roman" w:hAnsi="Times New Roman"/>
            <w:sz w:val="24"/>
            <w:szCs w:val="24"/>
          </w:rPr>
          <w:t>Порядок</w:t>
        </w:r>
      </w:hyperlink>
      <w:r w:rsidRPr="00A15C2E">
        <w:rPr>
          <w:rFonts w:ascii="Times New Roman" w:hAnsi="Times New Roman"/>
          <w:sz w:val="24"/>
          <w:szCs w:val="24"/>
        </w:rPr>
        <w:t xml:space="preserve"> применения классификации операций сектора государственного управления, утвержденный Приказом Минфина России от 29.11.2017 N 209н (далее - Порядок применения КОСГУ, Порядок N 209н);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>-   Приказом Минфина от 30.08.2024 № 121н «Об утверждении федерального стандарта бухгалтерского учета государственных финансов "Единый план счетов бухгалтерского учета государственных финансов» (далее — СГС «Единый план счетов» № 121н);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>-   Приказом Минфина от 20.09.2024 № 132н «Об утверждении План счетов бюджетного учета» (далее — СГС «План счетов бюджетного учета» № 132);</w:t>
      </w:r>
    </w:p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15C2E">
        <w:rPr>
          <w:rFonts w:ascii="Times New Roman" w:hAnsi="Times New Roman"/>
          <w:sz w:val="24"/>
          <w:szCs w:val="24"/>
        </w:rPr>
        <w:t>-   Приказом Минфина от 05.2022 № 82н «О Порядке формирования и применения кодов бюджетной классификации Российской Федерации, их структуре и принципах назначения» (далее — приказ № 82н).</w:t>
      </w: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0"/>
        <w:gridCol w:w="1311"/>
        <w:gridCol w:w="2835"/>
        <w:gridCol w:w="3544"/>
      </w:tblGrid>
      <w:tr w:rsidR="006B73EE" w:rsidRPr="00D23D58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D23D58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3D58">
              <w:rPr>
                <w:rFonts w:ascii="Times New Roman" w:hAnsi="Times New Roman"/>
              </w:rPr>
              <w:t>Наименование объекта учета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D23D58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3D58">
              <w:rPr>
                <w:rFonts w:ascii="Times New Roman" w:hAnsi="Times New Roman"/>
              </w:rPr>
              <w:t>Код счета бюджетного учета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D23D58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3D58">
              <w:rPr>
                <w:rFonts w:ascii="Times New Roman" w:hAnsi="Times New Roman"/>
              </w:rPr>
              <w:t>Способ ведения бюджетного учета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D23D58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23D58">
              <w:rPr>
                <w:rFonts w:ascii="Times New Roman" w:hAnsi="Times New Roman"/>
              </w:rPr>
              <w:t>Характеристика применяемого способа</w:t>
            </w:r>
          </w:p>
        </w:tc>
      </w:tr>
      <w:tr w:rsidR="006B73EE" w:rsidRPr="003E22DD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</w:tr>
      <w:tr w:rsidR="006B73EE" w:rsidRPr="003E22DD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Основные средства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0 101 00 000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Определение срока полезного использования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 xml:space="preserve">Исходя из ожидаемого срока получения экономических выгод и (или) полезного потенциала, заключенных в активе, признаваемом объектом основных средств. </w:t>
            </w:r>
            <w:hyperlink r:id="rId38" w:history="1">
              <w:r w:rsidRPr="003E22DD">
                <w:rPr>
                  <w:rFonts w:ascii="Times New Roman" w:hAnsi="Times New Roman"/>
                  <w:color w:val="0000FF"/>
                  <w:sz w:val="20"/>
                  <w:szCs w:val="20"/>
                </w:rPr>
                <w:t>п. 35</w:t>
              </w:r>
            </w:hyperlink>
            <w:r w:rsidRPr="003E22DD">
              <w:rPr>
                <w:rFonts w:ascii="Times New Roman" w:hAnsi="Times New Roman"/>
                <w:sz w:val="20"/>
                <w:szCs w:val="20"/>
              </w:rPr>
              <w:t xml:space="preserve"> Федерального стандарта N 257н</w:t>
            </w:r>
          </w:p>
        </w:tc>
      </w:tr>
      <w:tr w:rsidR="006B73EE" w:rsidRPr="003E22DD" w:rsidTr="00366390"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Амортизация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0 104 00 000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Методы начисления амортизации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Линейный метод</w:t>
            </w:r>
          </w:p>
        </w:tc>
      </w:tr>
      <w:tr w:rsidR="006B73EE" w:rsidRPr="003E22DD" w:rsidTr="00366390"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Методы учета суммы амортизации при переоценке объекта основных средств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Пересчет накопленной амортизации пропорционально изменению первоначальной стоимости объекта основных средств таким образом, чтобы его остаточная стоимость после переоценки равнялась его переоцененной стоимости</w:t>
            </w:r>
          </w:p>
        </w:tc>
      </w:tr>
      <w:tr w:rsidR="006B73EE" w:rsidRPr="003E22DD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Материальные запасы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0 105 00 000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Выбытие материальных запасов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По стоимости каждой единицы</w:t>
            </w:r>
          </w:p>
        </w:tc>
      </w:tr>
      <w:tr w:rsidR="006B73EE" w:rsidRPr="003E22DD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Бланки строгой отчетности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Учет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Условная оценка: один бланк, один рубль</w:t>
            </w:r>
          </w:p>
        </w:tc>
      </w:tr>
      <w:tr w:rsidR="006B73EE" w:rsidRPr="003E22DD" w:rsidTr="00366390"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Основные средства в эксплуатации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Учет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3EE" w:rsidRPr="003E22DD" w:rsidRDefault="006B73EE" w:rsidP="003663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E22DD">
              <w:rPr>
                <w:rFonts w:ascii="Times New Roman" w:hAnsi="Times New Roman"/>
                <w:sz w:val="20"/>
                <w:szCs w:val="20"/>
              </w:rPr>
              <w:t>По балансовой стоимости</w:t>
            </w:r>
          </w:p>
        </w:tc>
      </w:tr>
    </w:tbl>
    <w:p w:rsidR="006B73EE" w:rsidRPr="00A15C2E" w:rsidRDefault="006B73EE" w:rsidP="00EA60F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6B73EE" w:rsidRDefault="006B73EE"/>
    <w:sectPr w:rsidR="006B73EE" w:rsidSect="00EA60F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R Cyr 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307A4CC"/>
    <w:multiLevelType w:val="hybridMultilevel"/>
    <w:tmpl w:val="66681914"/>
    <w:lvl w:ilvl="0" w:tplc="9BC69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0AE6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C0C21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2CFC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40F22E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16AEA2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EF7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CB4CA14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8D04F1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C9193F11"/>
    <w:multiLevelType w:val="hybridMultilevel"/>
    <w:tmpl w:val="22F0B330"/>
    <w:lvl w:ilvl="0" w:tplc="AF4EB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26B9B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9427C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26CC2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380546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7A0795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F8D9C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C62436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AA6D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DC488F90"/>
    <w:multiLevelType w:val="hybridMultilevel"/>
    <w:tmpl w:val="09A66572"/>
    <w:lvl w:ilvl="0" w:tplc="1AF8F0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727C8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0697B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7A4C2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9ACE28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8CD9B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DEB87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FC8C4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9A104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DFADEDCC"/>
    <w:multiLevelType w:val="hybridMultilevel"/>
    <w:tmpl w:val="4C12CB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90602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15A57A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0887A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FC6DE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3840F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F0AD5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13E4AC0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28533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/>
      </w:rPr>
    </w:lvl>
  </w:abstractNum>
  <w:abstractNum w:abstractNumId="5">
    <w:nsid w:val="08E31704"/>
    <w:multiLevelType w:val="multilevel"/>
    <w:tmpl w:val="69CC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3F95FA0"/>
    <w:multiLevelType w:val="multilevel"/>
    <w:tmpl w:val="85685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FE76E7"/>
    <w:multiLevelType w:val="multilevel"/>
    <w:tmpl w:val="BA82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0BC81B"/>
    <w:multiLevelType w:val="multilevel"/>
    <w:tmpl w:val="9DDA4212"/>
    <w:lvl w:ilvl="0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2CB4C72"/>
    <w:multiLevelType w:val="multilevel"/>
    <w:tmpl w:val="CD5E1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EE56278"/>
    <w:multiLevelType w:val="multilevel"/>
    <w:tmpl w:val="DEF84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FFA15F2"/>
    <w:multiLevelType w:val="hybridMultilevel"/>
    <w:tmpl w:val="AC20F5E4"/>
    <w:lvl w:ilvl="0" w:tplc="C812F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2CE26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23E3F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E666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34F920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BAA2EA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C8737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6CCF02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4B45F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5659FC"/>
    <w:multiLevelType w:val="multilevel"/>
    <w:tmpl w:val="E8F8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9174AAC"/>
    <w:multiLevelType w:val="multilevel"/>
    <w:tmpl w:val="FC8AC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AC9C944"/>
    <w:multiLevelType w:val="multilevel"/>
    <w:tmpl w:val="F596F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11"/>
  </w:num>
  <w:num w:numId="5">
    <w:abstractNumId w:val="0"/>
  </w:num>
  <w:num w:numId="6">
    <w:abstractNumId w:val="2"/>
  </w:num>
  <w:num w:numId="7">
    <w:abstractNumId w:val="8"/>
  </w:num>
  <w:num w:numId="8">
    <w:abstractNumId w:val="6"/>
  </w:num>
  <w:num w:numId="9">
    <w:abstractNumId w:val="10"/>
  </w:num>
  <w:num w:numId="10">
    <w:abstractNumId w:val="7"/>
  </w:num>
  <w:num w:numId="11">
    <w:abstractNumId w:val="12"/>
  </w:num>
  <w:num w:numId="12">
    <w:abstractNumId w:val="9"/>
  </w:num>
  <w:num w:numId="13">
    <w:abstractNumId w:val="5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370"/>
    <w:rsid w:val="000A36A2"/>
    <w:rsid w:val="0019578D"/>
    <w:rsid w:val="00366390"/>
    <w:rsid w:val="003E22DD"/>
    <w:rsid w:val="006B73EE"/>
    <w:rsid w:val="00A15C2E"/>
    <w:rsid w:val="00CA1370"/>
    <w:rsid w:val="00D23D58"/>
    <w:rsid w:val="00E265A7"/>
    <w:rsid w:val="00EA60FB"/>
    <w:rsid w:val="00F1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60FB"/>
    <w:pPr>
      <w:spacing w:after="200" w:line="276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EA60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A60FB"/>
    <w:rPr>
      <w:rFonts w:ascii="Times New Roman" w:hAnsi="Times New Roman"/>
      <w:b/>
      <w:sz w:val="27"/>
      <w:lang w:val="x-none" w:eastAsia="ru-RU"/>
    </w:rPr>
  </w:style>
  <w:style w:type="character" w:styleId="FootnoteReference">
    <w:name w:val="footnote reference"/>
    <w:basedOn w:val="DefaultParagraphFont"/>
    <w:uiPriority w:val="99"/>
    <w:semiHidden/>
    <w:rsid w:val="00EA60FB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EA60FB"/>
    <w:pPr>
      <w:tabs>
        <w:tab w:val="center" w:pos="4677"/>
        <w:tab w:val="right" w:pos="9355"/>
      </w:tabs>
      <w:spacing w:after="0" w:line="240" w:lineRule="auto"/>
    </w:pPr>
    <w:rPr>
      <w:rFonts w:ascii="Arial" w:hAnsi="Arial" w:cs="Arial"/>
      <w:color w:val="000000"/>
      <w:sz w:val="20"/>
      <w:szCs w:val="20"/>
      <w:lang w:val="en-US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A60FB"/>
    <w:rPr>
      <w:rFonts w:ascii="Arial" w:eastAsia="Times New Roman" w:hAnsi="Arial"/>
      <w:color w:val="000000"/>
      <w:sz w:val="20"/>
      <w:lang w:val="en-US" w:eastAsia="ru-RU"/>
    </w:rPr>
  </w:style>
  <w:style w:type="paragraph" w:styleId="Footer">
    <w:name w:val="footer"/>
    <w:basedOn w:val="Normal"/>
    <w:link w:val="FooterChar"/>
    <w:uiPriority w:val="99"/>
    <w:rsid w:val="00EA60FB"/>
    <w:pPr>
      <w:tabs>
        <w:tab w:val="center" w:pos="4677"/>
        <w:tab w:val="right" w:pos="9355"/>
      </w:tabs>
      <w:spacing w:after="0" w:line="240" w:lineRule="auto"/>
    </w:pPr>
    <w:rPr>
      <w:rFonts w:ascii="Arial" w:hAnsi="Arial" w:cs="Arial"/>
      <w:color w:val="000000"/>
      <w:sz w:val="20"/>
      <w:szCs w:val="20"/>
      <w:lang w:val="en-US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A60FB"/>
    <w:rPr>
      <w:rFonts w:ascii="Arial" w:eastAsia="Times New Roman" w:hAnsi="Arial"/>
      <w:color w:val="000000"/>
      <w:sz w:val="20"/>
      <w:lang w:val="en-US" w:eastAsia="ru-RU"/>
    </w:rPr>
  </w:style>
  <w:style w:type="paragraph" w:customStyle="1" w:styleId="a">
    <w:name w:val="Прижатый влево"/>
    <w:basedOn w:val="Normal"/>
    <w:next w:val="Normal"/>
    <w:uiPriority w:val="99"/>
    <w:rsid w:val="00EA60F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EA60FB"/>
    <w:rPr>
      <w:rFonts w:cs="Times New Roman"/>
      <w:color w:val="0069AC"/>
      <w:u w:val="single"/>
    </w:rPr>
  </w:style>
  <w:style w:type="character" w:customStyle="1" w:styleId="a0">
    <w:name w:val="Гипертекстовая ссылка"/>
    <w:uiPriority w:val="99"/>
    <w:rsid w:val="00EA60FB"/>
    <w:rPr>
      <w:b/>
      <w:color w:val="106BBE"/>
    </w:rPr>
  </w:style>
  <w:style w:type="paragraph" w:customStyle="1" w:styleId="a1">
    <w:name w:val="Текст ЭР (см. также)"/>
    <w:basedOn w:val="Normal"/>
    <w:next w:val="Normal"/>
    <w:uiPriority w:val="99"/>
    <w:rsid w:val="00EA60FB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EA60FB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ru-RU"/>
    </w:rPr>
  </w:style>
  <w:style w:type="character" w:customStyle="1" w:styleId="FontStyle15">
    <w:name w:val="Font Style15"/>
    <w:uiPriority w:val="99"/>
    <w:rsid w:val="00EA60FB"/>
    <w:rPr>
      <w:rFonts w:ascii="Times New Roman" w:hAnsi="Times New Roman"/>
      <w:sz w:val="24"/>
    </w:rPr>
  </w:style>
  <w:style w:type="paragraph" w:customStyle="1" w:styleId="ConsPlusNormal">
    <w:name w:val="ConsPlusNormal"/>
    <w:uiPriority w:val="99"/>
    <w:rsid w:val="00EA60F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A60FB"/>
    <w:pPr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EA60FB"/>
    <w:rPr>
      <w:rFonts w:ascii="Times New Roman" w:hAnsi="Times New Roman"/>
      <w:sz w:val="24"/>
      <w:lang w:val="x-none" w:eastAsia="ru-RU"/>
    </w:rPr>
  </w:style>
  <w:style w:type="paragraph" w:styleId="ListParagraph">
    <w:name w:val="List Paragraph"/>
    <w:basedOn w:val="Normal"/>
    <w:uiPriority w:val="99"/>
    <w:qFormat/>
    <w:rsid w:val="00EA60FB"/>
    <w:pPr>
      <w:ind w:left="720"/>
      <w:contextualSpacing/>
    </w:pPr>
    <w:rPr>
      <w:rFonts w:ascii="Arial" w:hAnsi="Arial" w:cs="Arial"/>
      <w:color w:val="000000"/>
      <w:sz w:val="20"/>
      <w:szCs w:val="20"/>
      <w:lang w:val="en-US" w:eastAsia="ru-RU"/>
    </w:rPr>
  </w:style>
  <w:style w:type="character" w:styleId="Strong">
    <w:name w:val="Strong"/>
    <w:basedOn w:val="DefaultParagraphFont"/>
    <w:uiPriority w:val="99"/>
    <w:qFormat/>
    <w:rsid w:val="00EA60FB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ED6B99BEC43AB280D954D3E0ABBCFAABBD521E6E1CA8E563864776B1076E6F2412AFE8DBF1825D6A45B0A98BC7C65ECA3C78299C9B1D43j9y3L" TargetMode="External"/><Relationship Id="rId13" Type="http://schemas.openxmlformats.org/officeDocument/2006/relationships/hyperlink" Target="consultantplus://offline/ref=90ED6B99BEC43AB280D954D3E0ABBCFAACB956196211A8E563864776B1076E6F2412AFE8DBF1825D6A45B0A98BC7C65ECA3C78299C9B1D43j9y3L" TargetMode="External"/><Relationship Id="rId18" Type="http://schemas.openxmlformats.org/officeDocument/2006/relationships/hyperlink" Target="consultantplus://offline/ref=90ED6B99BEC43AB280D954D3E0ABBCFAABB156106819A8E563864776B1076E6F2412AFE8DBF1825D6A45B0A98BC7C65ECA3C78299C9B1D43j9y3L" TargetMode="External"/><Relationship Id="rId26" Type="http://schemas.openxmlformats.org/officeDocument/2006/relationships/hyperlink" Target="consultantplus://offline/ref=90ED6B99BEC43AB280D954D3E0ABBCFAABBF511E681FA8E563864776B1076E6F2412AFE8DBF1825D6945B0A98BC7C65ECA3C78299C9B1D43j9y3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0ED6B99BEC43AB280D954D3E0ABBCFAABBD521E6F1CA8E563864776B1076E6F2412AFE8DBF1825D6A45B0A98BC7C65ECA3C78299C9B1D43j9y3L" TargetMode="External"/><Relationship Id="rId34" Type="http://schemas.openxmlformats.org/officeDocument/2006/relationships/hyperlink" Target="consultantplus://offline/ref=90ED6B99BEC43AB280D954D3E0ABBCFAABB0541E6C18A8E563864776B1076E6F2412AFE8DBF1825D6E45B0A98BC7C65ECA3C78299C9B1D43j9y3L" TargetMode="External"/><Relationship Id="rId7" Type="http://schemas.openxmlformats.org/officeDocument/2006/relationships/hyperlink" Target="consultantplus://offline/ref=90ED6B99BEC43AB280D954D3E0ABBCFAABBF541B6D1AA8E563864776B1076E6F2412AFE8DBF1825D6A45B0A98BC7C65ECA3C78299C9B1D43j9y3L" TargetMode="External"/><Relationship Id="rId12" Type="http://schemas.openxmlformats.org/officeDocument/2006/relationships/hyperlink" Target="consultantplus://offline/ref=90ED6B99BEC43AB280D954D3E0ABBCFAABBD52196D1CA8E563864776B1076E6F2412AFE8DBF1825D6A45B0A98BC7C65ECA3C78299C9B1D43j9y3L" TargetMode="External"/><Relationship Id="rId17" Type="http://schemas.openxmlformats.org/officeDocument/2006/relationships/hyperlink" Target="consultantplus://offline/ref=90ED6B99BEC43AB280D954D3E0ABBCFAABBD54116C1EA8E563864776B1076E6F2412AFE8DBF1825D6A45B0A98BC7C65ECA3C78299C9B1D43j9y3L" TargetMode="External"/><Relationship Id="rId25" Type="http://schemas.openxmlformats.org/officeDocument/2006/relationships/hyperlink" Target="consultantplus://offline/ref=90ED6B99BEC43AB280D954D3E0ABBCFAABBF55196A1DA8E563864776B1076E6F2412AFE8DBF1825D6A45B0A98BC7C65ECA3C78299C9B1D43j9y3L" TargetMode="External"/><Relationship Id="rId33" Type="http://schemas.openxmlformats.org/officeDocument/2006/relationships/hyperlink" Target="consultantplus://offline/ref=90ED6B99BEC43AB280D954D3E0ABBCFAABB0571C6F1EA8E563864776B1076E6F2412AFE8DBF1825C6345B0A98BC7C65ECA3C78299C9B1D43j9y3L" TargetMode="External"/><Relationship Id="rId38" Type="http://schemas.openxmlformats.org/officeDocument/2006/relationships/hyperlink" Target="consultantplus://offline/ref=EC68C6D1322ADF4AEC99C60D60064C71BC85AD53DA04B45129934FF162B1BCF15F6E5F81CD80D790A5DBF55B18BF1D2813BFBAEC6F5F67C1x7o2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90ED6B99BEC43AB280D954D3E0ABBCFAABBD551A6F1AA8E563864776B1076E6F2412AFE8DBF1825D6A45B0A98BC7C65ECA3C78299C9B1D43j9y3L" TargetMode="External"/><Relationship Id="rId20" Type="http://schemas.openxmlformats.org/officeDocument/2006/relationships/hyperlink" Target="consultantplus://offline/ref=90ED6B99BEC43AB280D954D3E0ABBCFAABBD521A6B1EA8E563864776B1076E6F2412AFE8DBF1825D6A45B0A98BC7C65ECA3C78299C9B1D43j9y3L" TargetMode="External"/><Relationship Id="rId29" Type="http://schemas.openxmlformats.org/officeDocument/2006/relationships/hyperlink" Target="consultantplus://offline/ref=90ED6B99BEC43AB280D954D3E0ABBCFAABBF5E1B6E1FA8E563864776B1076E6F3612F7E4DBF59C5C6950E6F8CDj9y0L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0ED6B99BEC43AB280D954D3E0ABBCFAABB15F10681AA8E563864776B1076E6F3612F7E4DBF59C5C6950E6F8CDj9y0L" TargetMode="External"/><Relationship Id="rId11" Type="http://schemas.openxmlformats.org/officeDocument/2006/relationships/hyperlink" Target="consultantplus://offline/ref=90ED6B99BEC43AB280D954D3E0ABBCFAABBD55106C1FA8E563864776B1076E6F2412AFE8DBF1825D6A45B0A98BC7C65ECA3C78299C9B1D43j9y3L" TargetMode="External"/><Relationship Id="rId24" Type="http://schemas.openxmlformats.org/officeDocument/2006/relationships/hyperlink" Target="consultantplus://offline/ref=90ED6B99BEC43AB280D954D3E0ABBCFAABBA5F116B1CA8E563864776B1076E6F2412AFE8DBF1825D6945B0A98BC7C65ECA3C78299C9B1D43j9y3L" TargetMode="External"/><Relationship Id="rId32" Type="http://schemas.openxmlformats.org/officeDocument/2006/relationships/hyperlink" Target="consultantplus://offline/ref=90ED6B99BEC43AB280D954D3E0ABBCFAABB95F116A1AA8E563864776B1076E6F2412AFE8DBF1825C6345B0A98BC7C65ECA3C78299C9B1D43j9y3L" TargetMode="External"/><Relationship Id="rId37" Type="http://schemas.openxmlformats.org/officeDocument/2006/relationships/hyperlink" Target="consultantplus://offline/ref=90ED6B99BEC43AB280D954D3E0ABBCFAACB9561B6F19A8E563864776B1076E6F2412AFE8DBF1825D6A45B0A98BC7C65ECA3C78299C9B1D43j9y3L" TargetMode="External"/><Relationship Id="rId40" Type="http://schemas.openxmlformats.org/officeDocument/2006/relationships/theme" Target="theme/theme1.xml"/><Relationship Id="rId5" Type="http://schemas.openxmlformats.org/officeDocument/2006/relationships/hyperlink" Target="consultantplus://offline/ref=90ED6B99BEC43AB280D954D3E0ABBCFAABB15F1C6B18A8E563864776B1076E6F3612F7E4DBF59C5C6950E6F8CDj9y0L" TargetMode="External"/><Relationship Id="rId15" Type="http://schemas.openxmlformats.org/officeDocument/2006/relationships/hyperlink" Target="consultantplus://offline/ref=90ED6B99BEC43AB280D954D3E0ABBCFAABBD52186D1DA8E563864776B1076E6F2412AFE8DBF1825D6A45B0A98BC7C65ECA3C78299C9B1D43j9y3L" TargetMode="External"/><Relationship Id="rId23" Type="http://schemas.openxmlformats.org/officeDocument/2006/relationships/hyperlink" Target="consultantplus://offline/ref=90ED6B99BEC43AB280D954D3E0ABBCFAABBA5F1D6A11A8E563864776B1076E6F2412AFE8DBF1825D6945B0A98BC7C65ECA3C78299C9B1D43j9y3L" TargetMode="External"/><Relationship Id="rId28" Type="http://schemas.openxmlformats.org/officeDocument/2006/relationships/hyperlink" Target="consultantplus://offline/ref=90ED6B99BEC43AB280D954D3E0ABBCFAABBF541F691FA8E563864776B1076E6F2412AFE8DBF4805F6E45B0A98BC7C65ECA3C78299C9B1D43j9y3L" TargetMode="External"/><Relationship Id="rId36" Type="http://schemas.openxmlformats.org/officeDocument/2006/relationships/hyperlink" Target="consultantplus://offline/ref=90ED6B99BEC43AB280D954D3E0ABBCFAACB9511A6919A8E563864776B1076E6F2412AFE8DBF1825D6A45B0A98BC7C65ECA3C78299C9B1D43j9y3L" TargetMode="External"/><Relationship Id="rId10" Type="http://schemas.openxmlformats.org/officeDocument/2006/relationships/hyperlink" Target="consultantplus://offline/ref=90ED6B99BEC43AB280D954D3E0ABBCFAABBD50186A19A8E563864776B1076E6F2412AFE8DBF1825D6A45B0A98BC7C65ECA3C78299C9B1D43j9y3L" TargetMode="External"/><Relationship Id="rId19" Type="http://schemas.openxmlformats.org/officeDocument/2006/relationships/hyperlink" Target="consultantplus://offline/ref=90ED6B99BEC43AB280D954D3E0ABBCFAABBD521C681BA8E563864776B1076E6F2412AFE8DBF1825D6A45B0A98BC7C65ECA3C78299C9B1D43j9y3L" TargetMode="External"/><Relationship Id="rId31" Type="http://schemas.openxmlformats.org/officeDocument/2006/relationships/hyperlink" Target="consultantplus://offline/ref=90ED6B99BEC43AB280D954D3E0ABBCFAA9B951106C18A8E563864776B1076E6F2412AFE8DBF1825D6B45B0A98BC7C65ECA3C78299C9B1D43j9y3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0ED6B99BEC43AB280D954D3E0ABBCFAABBD5111631AA8E563864776B1076E6F2412AFE8DBF1825D6A45B0A98BC7C65ECA3C78299C9B1D43j9y3L" TargetMode="External"/><Relationship Id="rId14" Type="http://schemas.openxmlformats.org/officeDocument/2006/relationships/hyperlink" Target="consultantplus://offline/ref=90ED6B99BEC43AB280D954D3E0ABBCFAABBD521C6811A8E563864776B1076E6F2412AFE8DBF1825D6A45B0A98BC7C65ECA3C78299C9B1D43j9y3L" TargetMode="External"/><Relationship Id="rId22" Type="http://schemas.openxmlformats.org/officeDocument/2006/relationships/hyperlink" Target="consultantplus://offline/ref=90ED6B99BEC43AB280D954D3E0ABBCFAABBD55106C1BA8E563864776B1076E6F2412AFE8DBF1825D6A45B0A98BC7C65ECA3C78299C9B1D43j9y3L" TargetMode="External"/><Relationship Id="rId27" Type="http://schemas.openxmlformats.org/officeDocument/2006/relationships/hyperlink" Target="consultantplus://offline/ref=90ED6B99BEC43AB280D954D3E0ABBCFAABBF541F691FA8E563864776B1076E6F3612F7E4DBF59C5C6950E6F8CDj9y0L" TargetMode="External"/><Relationship Id="rId30" Type="http://schemas.openxmlformats.org/officeDocument/2006/relationships/hyperlink" Target="consultantplus://offline/ref=90ED6B99BEC43AB280D954D3E0ABBCFAABBC561C6811A8E563864776B1076E6F3612F7E4DBF59C5C6950E6F8CDj9y0L" TargetMode="External"/><Relationship Id="rId35" Type="http://schemas.openxmlformats.org/officeDocument/2006/relationships/hyperlink" Target="consultantplus://offline/ref=90ED6B99BEC43AB280D954D3E0ABBCFAABBF551D6C11A8E563864776B1076E6F3612F7E4DBF59C5C6950E6F8CDj9y0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2261</Words>
  <Characters>12894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УТВЕРЖДЕНА</dc:title>
  <dc:subject/>
  <dc:creator>Потапова</dc:creator>
  <cp:keywords/>
  <dc:description/>
  <cp:lastModifiedBy>ks</cp:lastModifiedBy>
  <cp:revision>2</cp:revision>
  <dcterms:created xsi:type="dcterms:W3CDTF">2026-02-19T09:28:00Z</dcterms:created>
  <dcterms:modified xsi:type="dcterms:W3CDTF">2026-02-19T09:28:00Z</dcterms:modified>
</cp:coreProperties>
</file>